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山东省城市服务技师学院</w:t>
      </w:r>
    </w:p>
    <w:p>
      <w:pPr>
        <w:spacing w:line="300" w:lineRule="auto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自来水井维修改造项目询价公告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二次）</w:t>
      </w:r>
    </w:p>
    <w:p>
      <w:pPr>
        <w:pStyle w:val="4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ascii="楷体" w:hAnsi="楷体" w:eastAsia="楷体" w:cs="楷体"/>
          <w:b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sz w:val="32"/>
          <w:szCs w:val="32"/>
        </w:rPr>
        <w:t>一、</w:t>
      </w:r>
      <w:r>
        <w:rPr>
          <w:rFonts w:ascii="楷体" w:hAnsi="楷体" w:eastAsia="楷体" w:cs="楷体"/>
          <w:b w:val="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 w:val="0"/>
          <w:sz w:val="32"/>
          <w:szCs w:val="32"/>
        </w:rPr>
        <w:t>采购内容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山东省城市服务技师学院自来水井维修改造项目，相</w:t>
      </w:r>
      <w:r>
        <w:rPr>
          <w:rFonts w:hint="eastAsia" w:ascii="仿宋" w:hAnsi="仿宋" w:eastAsia="仿宋" w:cs="仿宋"/>
          <w:sz w:val="32"/>
          <w:szCs w:val="32"/>
        </w:rPr>
        <w:t>关技术要求详见附件。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二、投标人资格</w:t>
      </w:r>
    </w:p>
    <w:p>
      <w:pPr>
        <w:adjustRightInd w:val="0"/>
        <w:snapToGrid w:val="0"/>
        <w:spacing w:before="192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</w:rPr>
        <w:t>在中国境内依法注册，具有独立承担民事责任能力的法人、其他组织或者自然人；</w:t>
      </w:r>
    </w:p>
    <w:p>
      <w:pPr>
        <w:pStyle w:val="9"/>
        <w:widowControl/>
        <w:adjustRightInd w:val="0"/>
        <w:snapToGrid w:val="0"/>
        <w:spacing w:before="150" w:beforeAutospacing="0" w:after="150" w:afterAutospacing="0" w:line="360" w:lineRule="auto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2.</w:t>
      </w:r>
      <w:r>
        <w:rPr>
          <w:rFonts w:hint="eastAsia" w:ascii="仿宋" w:hAnsi="仿宋" w:eastAsia="仿宋" w:cs="仿宋"/>
          <w:kern w:val="2"/>
          <w:sz w:val="32"/>
          <w:szCs w:val="32"/>
        </w:rPr>
        <w:t>无不良信用信息记录（提供信用中国查询信用报告）；</w:t>
      </w:r>
    </w:p>
    <w:p>
      <w:pPr>
        <w:pStyle w:val="21"/>
        <w:adjustRightInd w:val="0"/>
        <w:snapToGrid w:val="0"/>
        <w:spacing w:line="360" w:lineRule="auto"/>
        <w:ind w:firstLine="31680"/>
        <w:rPr>
          <w:rFonts w:cs="仿宋"/>
        </w:rPr>
      </w:pPr>
      <w:r>
        <w:rPr>
          <w:rFonts w:cs="仿宋"/>
        </w:rPr>
        <w:t>3.</w:t>
      </w:r>
      <w:r>
        <w:rPr>
          <w:rFonts w:hint="eastAsia" w:cs="仿宋"/>
        </w:rPr>
        <w:t>本项目不接受联合体投标。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三、报价要求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</w:rPr>
        <w:t>即日起至</w:t>
      </w: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时</w:t>
      </w:r>
      <w:r>
        <w:rPr>
          <w:rFonts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分，每日上午</w:t>
      </w:r>
      <w:r>
        <w:rPr>
          <w:rFonts w:ascii="仿宋" w:hAnsi="仿宋" w:eastAsia="仿宋" w:cs="仿宋"/>
          <w:sz w:val="32"/>
          <w:szCs w:val="32"/>
        </w:rPr>
        <w:t>8:00-11:30</w:t>
      </w:r>
      <w:r>
        <w:rPr>
          <w:rFonts w:hint="eastAsia" w:ascii="仿宋" w:hAnsi="仿宋" w:eastAsia="仿宋" w:cs="仿宋"/>
          <w:sz w:val="32"/>
          <w:szCs w:val="32"/>
        </w:rPr>
        <w:t>，下午</w:t>
      </w:r>
      <w:r>
        <w:rPr>
          <w:rFonts w:ascii="仿宋" w:hAnsi="仿宋" w:eastAsia="仿宋" w:cs="仿宋"/>
          <w:sz w:val="32"/>
          <w:szCs w:val="32"/>
        </w:rPr>
        <w:t>2:30-4:00</w:t>
      </w:r>
      <w:r>
        <w:rPr>
          <w:rFonts w:hint="eastAsia" w:ascii="仿宋" w:hAnsi="仿宋" w:eastAsia="仿宋" w:cs="仿宋"/>
          <w:sz w:val="32"/>
          <w:szCs w:val="32"/>
        </w:rPr>
        <w:t>到山东省城市服务技师学院后勤处（山东省烟台市高新区海天路</w:t>
      </w:r>
      <w:r>
        <w:rPr>
          <w:rFonts w:ascii="仿宋" w:hAnsi="仿宋" w:eastAsia="仿宋" w:cs="仿宋"/>
          <w:sz w:val="32"/>
          <w:szCs w:val="32"/>
        </w:rPr>
        <w:t>1001</w:t>
      </w:r>
      <w:r>
        <w:rPr>
          <w:rFonts w:hint="eastAsia" w:ascii="仿宋" w:hAnsi="仿宋" w:eastAsia="仿宋" w:cs="仿宋"/>
          <w:sz w:val="32"/>
          <w:szCs w:val="32"/>
        </w:rPr>
        <w:t>号）提交报价文件（因疫情防控等原因，请提交报价前提前联系采购人，获得提交报价文件的最新方式）。联系人和联系电话：丛老师，</w:t>
      </w:r>
      <w:r>
        <w:rPr>
          <w:rFonts w:ascii="仿宋" w:hAnsi="仿宋" w:eastAsia="仿宋" w:cs="仿宋"/>
          <w:sz w:val="32"/>
          <w:szCs w:val="32"/>
        </w:rPr>
        <w:t>18863891490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>2246687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sz w:val="32"/>
          <w:szCs w:val="32"/>
        </w:rPr>
        <w:t>报价人须提供包含以下内容的加盖单位公章的报价资料一份：工商营业执照副本复印件、法定代表人身份证复印件、报价单、服务承诺（包括优惠条件承诺）、联系人及联系方式、投标人资格要求等。上述资料装订成册，自行密封并在封面加盖单位公章，否则视为无效投标。所交资料因存档需要，采购人不予返还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3. </w:t>
      </w:r>
      <w:r>
        <w:rPr>
          <w:rFonts w:hint="eastAsia" w:ascii="仿宋" w:hAnsi="仿宋" w:eastAsia="仿宋" w:cs="仿宋"/>
          <w:sz w:val="32"/>
          <w:szCs w:val="32"/>
        </w:rPr>
        <w:t>报价为完成清单范围内全部内容的总价，包括材料费、运输费、人工费、利润、税金等所有费用，且综合考虑市场、政策等因素引起的原材料价格上涨等不确定风险。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</w:t>
      </w:r>
      <w:r>
        <w:rPr>
          <w:rFonts w:hint="eastAsia" w:ascii="楷体" w:hAnsi="楷体" w:eastAsia="楷体" w:cs="仿宋"/>
          <w:sz w:val="32"/>
          <w:szCs w:val="32"/>
        </w:rPr>
        <w:t>其他要求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采购人不组织统一考察现场，无论供应商对现场考察与否，都将被视为熟悉该项目的一切情况，并承担一切与报价有关的风险、责任和义务。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采购人未设置最低限价，但投标人报价不得明显低于其他通过符合性审查投标人的报价，也不允许低于成本价报价。否则，采购人将认为其报价有可能影响产品质量、服务质量或不能诚信履约。投标人现场不能对其低报价做出合理解释的，采购人可根据《政府采购货物和服务招标投标管理办法》（财政部</w:t>
      </w:r>
      <w:r>
        <w:rPr>
          <w:rFonts w:ascii="仿宋" w:hAnsi="仿宋" w:eastAsia="仿宋" w:cs="仿宋"/>
          <w:bCs/>
          <w:sz w:val="32"/>
          <w:szCs w:val="32"/>
        </w:rPr>
        <w:t>87</w:t>
      </w:r>
      <w:r>
        <w:rPr>
          <w:rFonts w:hint="eastAsia" w:ascii="仿宋" w:hAnsi="仿宋" w:eastAsia="仿宋" w:cs="仿宋"/>
          <w:bCs/>
          <w:sz w:val="32"/>
          <w:szCs w:val="32"/>
        </w:rPr>
        <w:t>号令）等法律法规认定为无效报价。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Cs/>
          <w:sz w:val="32"/>
          <w:szCs w:val="32"/>
        </w:rPr>
        <w:t>中标人因自身原因放弃中标人资格，将不允许再次参与该项目，一年内不允许参与采购人其他项目。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Cs/>
          <w:sz w:val="32"/>
          <w:szCs w:val="32"/>
        </w:rPr>
        <w:t>报价资料应符合完全响应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山东省城市服务技师学院自来水井维修改造项目技术</w:t>
      </w:r>
      <w:r>
        <w:rPr>
          <w:rFonts w:hint="eastAsia" w:ascii="仿宋" w:hAnsi="仿宋" w:eastAsia="仿宋" w:cs="仿宋"/>
          <w:bCs/>
          <w:sz w:val="32"/>
          <w:szCs w:val="32"/>
        </w:rPr>
        <w:t>要求，技术要求见附件。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五、控制价及付款方式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本项目总控制价为人民币</w:t>
      </w:r>
      <w:r>
        <w:rPr>
          <w:rFonts w:ascii="仿宋" w:hAnsi="仿宋" w:eastAsia="仿宋" w:cs="仿宋"/>
          <w:sz w:val="32"/>
          <w:szCs w:val="32"/>
        </w:rPr>
        <w:t>75000</w:t>
      </w:r>
      <w:r>
        <w:rPr>
          <w:rFonts w:hint="eastAsia" w:ascii="仿宋" w:hAnsi="仿宋" w:eastAsia="仿宋" w:cs="仿宋"/>
          <w:sz w:val="32"/>
          <w:szCs w:val="32"/>
        </w:rPr>
        <w:t>元。本项目质保期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年，项目竣工验收合格后付工程价款的</w:t>
      </w:r>
      <w:r>
        <w:rPr>
          <w:rFonts w:ascii="仿宋" w:hAnsi="仿宋" w:eastAsia="仿宋" w:cs="仿宋"/>
          <w:sz w:val="32"/>
          <w:szCs w:val="32"/>
        </w:rPr>
        <w:t>97%</w:t>
      </w:r>
      <w:r>
        <w:rPr>
          <w:rFonts w:hint="eastAsia" w:ascii="仿宋" w:hAnsi="仿宋" w:eastAsia="仿宋" w:cs="仿宋"/>
          <w:sz w:val="32"/>
          <w:szCs w:val="32"/>
        </w:rPr>
        <w:t>，余</w:t>
      </w:r>
      <w:r>
        <w:rPr>
          <w:rFonts w:ascii="仿宋" w:hAnsi="仿宋" w:eastAsia="仿宋" w:cs="仿宋"/>
          <w:sz w:val="32"/>
          <w:szCs w:val="32"/>
        </w:rPr>
        <w:t>3%</w:t>
      </w:r>
      <w:r>
        <w:rPr>
          <w:rFonts w:hint="eastAsia" w:ascii="仿宋" w:hAnsi="仿宋" w:eastAsia="仿宋" w:cs="仿宋"/>
          <w:sz w:val="32"/>
          <w:szCs w:val="32"/>
        </w:rPr>
        <w:t>作为质保金待质保期满后一次性无息付清。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六、截止报价时间，报价人不足</w:t>
      </w:r>
      <w:r>
        <w:rPr>
          <w:rFonts w:ascii="楷体" w:hAnsi="楷体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家或在评审过程中实质性响应询价文件要求的报价人不足</w:t>
      </w:r>
      <w:r>
        <w:rPr>
          <w:rFonts w:ascii="楷体" w:hAnsi="楷体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家，采购人可改为竞争性谈判采购。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七、报价人提交报价资料视为同意该询价公告条款，采购人享有对该条款的解释权。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、报价单</w:t>
      </w:r>
    </w:p>
    <w:p>
      <w:pPr>
        <w:pStyle w:val="9"/>
        <w:widowControl/>
        <w:numPr>
          <w:ilvl w:val="0"/>
          <w:numId w:val="1"/>
        </w:numPr>
        <w:spacing w:before="150" w:beforeAutospacing="0" w:after="150" w:afterAutospacing="0" w:line="585" w:lineRule="atLeas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工程量清单</w:t>
      </w:r>
    </w:p>
    <w:p>
      <w:pPr>
        <w:pStyle w:val="9"/>
        <w:widowControl/>
        <w:numPr>
          <w:ilvl w:val="0"/>
          <w:numId w:val="1"/>
        </w:numPr>
        <w:spacing w:before="150" w:beforeAutospacing="0" w:after="150" w:afterAutospacing="0" w:line="585" w:lineRule="atLeas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rPr>
          <w:rFonts w:ascii="仿宋" w:hAnsi="仿宋" w:eastAsia="仿宋" w:cs="仿宋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5139" w:firstLineChars="160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山东省城市服务技师学院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jc w:val="center"/>
      </w:pPr>
      <w:r>
        <w:rPr>
          <w:rFonts w:ascii="仿宋" w:hAnsi="仿宋" w:eastAsia="仿宋" w:cs="仿宋"/>
          <w:sz w:val="32"/>
          <w:szCs w:val="32"/>
        </w:rPr>
        <w:t xml:space="preserve">                        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kern w:val="44"/>
          <w:sz w:val="28"/>
          <w:szCs w:val="28"/>
        </w:rPr>
      </w:pPr>
    </w:p>
    <w:p>
      <w:pPr>
        <w:rPr>
          <w:rFonts w:ascii="仿宋" w:hAnsi="仿宋" w:eastAsia="仿宋" w:cs="仿宋"/>
          <w:kern w:val="44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kern w:val="44"/>
          <w:sz w:val="28"/>
          <w:szCs w:val="28"/>
        </w:rPr>
      </w:pPr>
    </w:p>
    <w:p/>
    <w:p>
      <w:pPr>
        <w:pStyle w:val="2"/>
      </w:pPr>
    </w:p>
    <w:p>
      <w:pPr>
        <w:rPr>
          <w:rFonts w:ascii="仿宋" w:hAnsi="仿宋" w:eastAsia="仿宋" w:cs="仿宋"/>
          <w:kern w:val="44"/>
          <w:sz w:val="28"/>
          <w:szCs w:val="28"/>
        </w:rPr>
      </w:pPr>
      <w:r>
        <w:rPr>
          <w:rFonts w:hint="eastAsia" w:ascii="仿宋" w:hAnsi="仿宋" w:eastAsia="仿宋" w:cs="仿宋"/>
          <w:kern w:val="44"/>
          <w:sz w:val="28"/>
          <w:szCs w:val="28"/>
        </w:rPr>
        <w:t>附件</w:t>
      </w:r>
      <w:r>
        <w:rPr>
          <w:rFonts w:ascii="仿宋" w:hAnsi="仿宋" w:eastAsia="仿宋" w:cs="仿宋"/>
          <w:kern w:val="44"/>
          <w:sz w:val="28"/>
          <w:szCs w:val="28"/>
        </w:rPr>
        <w:t>1</w:t>
      </w:r>
      <w:r>
        <w:rPr>
          <w:rFonts w:hint="eastAsia" w:ascii="仿宋" w:hAnsi="仿宋" w:eastAsia="仿宋" w:cs="仿宋"/>
          <w:kern w:val="44"/>
          <w:sz w:val="28"/>
          <w:szCs w:val="28"/>
        </w:rPr>
        <w:t>：报价单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报价单</w:t>
      </w:r>
    </w:p>
    <w:p>
      <w:pPr>
        <w:pStyle w:val="2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山东省城市服务技师学院：</w:t>
      </w:r>
    </w:p>
    <w:p>
      <w:pPr>
        <w:ind w:left="319" w:leftChars="152" w:firstLine="320" w:firstLineChars="1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我单位在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山东省城市服务技师学院自来水井维修改造项目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中的报价为人民币</w:t>
      </w:r>
      <w:r>
        <w:rPr>
          <w:rFonts w:ascii="仿宋_GB2312" w:hAnsi="宋体" w:eastAsia="仿宋_GB2312" w:cs="宋体"/>
          <w:bCs/>
          <w:sz w:val="32"/>
          <w:szCs w:val="32"/>
        </w:rPr>
        <w:t>__________________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，大写</w:t>
      </w:r>
      <w:r>
        <w:rPr>
          <w:rFonts w:ascii="仿宋_GB2312" w:hAnsi="宋体" w:eastAsia="仿宋_GB2312" w:cs="宋体"/>
          <w:bCs/>
          <w:sz w:val="32"/>
          <w:szCs w:val="32"/>
        </w:rPr>
        <w:t>________________________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spacing w:line="220" w:lineRule="atLeast"/>
        <w:jc w:val="center"/>
        <w:rPr>
          <w:sz w:val="28"/>
          <w:szCs w:val="28"/>
        </w:rPr>
      </w:pPr>
    </w:p>
    <w:p>
      <w:pPr>
        <w:pStyle w:val="5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pStyle w:val="3"/>
        <w:jc w:val="both"/>
        <w:rPr>
          <w:sz w:val="32"/>
        </w:rPr>
      </w:pPr>
    </w:p>
    <w:p/>
    <w:p>
      <w:pPr>
        <w:pStyle w:val="5"/>
        <w:ind w:right="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报价单位（章）：</w:t>
      </w:r>
    </w:p>
    <w:p>
      <w:pPr>
        <w:pStyle w:val="5"/>
        <w:ind w:right="600"/>
        <w:jc w:val="center"/>
      </w:pPr>
      <w:r>
        <w:rPr>
          <w:sz w:val="32"/>
          <w:szCs w:val="32"/>
        </w:rPr>
        <w:t xml:space="preserve">                             2022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/>
    <w:p>
      <w:pPr>
        <w:pStyle w:val="8"/>
        <w:jc w:val="left"/>
        <w:rPr>
          <w:b/>
          <w:bCs/>
        </w:rPr>
      </w:pPr>
    </w:p>
    <w:p>
      <w:pPr>
        <w:rPr>
          <w:sz w:val="28"/>
          <w:szCs w:val="28"/>
        </w:rPr>
      </w:pPr>
      <w:r>
        <w:rPr>
          <w:rFonts w:ascii="仿宋" w:hAnsi="仿宋" w:eastAsia="仿宋" w:cs="仿宋"/>
          <w:kern w:val="0"/>
          <w:sz w:val="32"/>
          <w:szCs w:val="32"/>
        </w:rPr>
        <w:br w:type="page"/>
      </w:r>
      <w:r>
        <w:rPr>
          <w:rFonts w:hint="eastAsia" w:ascii="仿宋" w:hAnsi="仿宋" w:eastAsia="仿宋" w:cs="仿宋"/>
          <w:kern w:val="44"/>
          <w:sz w:val="28"/>
          <w:szCs w:val="28"/>
        </w:rPr>
        <w:t>附件</w:t>
      </w:r>
      <w:r>
        <w:rPr>
          <w:rFonts w:ascii="仿宋" w:hAnsi="仿宋" w:eastAsia="仿宋" w:cs="仿宋"/>
          <w:kern w:val="44"/>
          <w:sz w:val="28"/>
          <w:szCs w:val="28"/>
        </w:rPr>
        <w:t>2</w:t>
      </w:r>
      <w:r>
        <w:rPr>
          <w:rFonts w:hint="eastAsia" w:ascii="仿宋" w:hAnsi="仿宋" w:eastAsia="仿宋" w:cs="仿宋"/>
          <w:kern w:val="44"/>
          <w:sz w:val="28"/>
          <w:szCs w:val="28"/>
        </w:rPr>
        <w:t>：工程量清单</w:t>
      </w:r>
    </w:p>
    <w:p>
      <w:pPr>
        <w:pStyle w:val="5"/>
        <w:spacing w:before="32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山东省城市服务技师学院自来水井维修改造清单</w:t>
      </w:r>
    </w:p>
    <w:p>
      <w:pPr>
        <w:pStyle w:val="5"/>
        <w:spacing w:afterLines="50"/>
        <w:rPr>
          <w:sz w:val="28"/>
          <w:szCs w:val="28"/>
        </w:rPr>
      </w:pPr>
      <w:r>
        <w:rPr>
          <w:rFonts w:hint="eastAsia"/>
          <w:sz w:val="28"/>
          <w:szCs w:val="28"/>
        </w:rPr>
        <w:t>一、单阀井安装改造清单</w:t>
      </w:r>
    </w:p>
    <w:tbl>
      <w:tblPr>
        <w:tblStyle w:val="10"/>
        <w:tblW w:w="4901" w:type="pct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5847"/>
        <w:gridCol w:w="982"/>
        <w:gridCol w:w="982"/>
        <w:gridCol w:w="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71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054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51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51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71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人工挖检查井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71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闸板阀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71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法兰波纹补偿器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71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4" w:type="pct"/>
          </w:tcPr>
          <w:p>
            <w:pPr>
              <w:pStyle w:val="23"/>
              <w:spacing w:before="9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rFonts w:hint="eastAsia"/>
                <w:sz w:val="24"/>
              </w:rPr>
              <w:t>带钢片法兰</w:t>
            </w: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（自加热）</w:t>
            </w:r>
          </w:p>
        </w:tc>
        <w:tc>
          <w:tcPr>
            <w:tcW w:w="513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3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71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rFonts w:hint="eastAsia"/>
                <w:sz w:val="24"/>
              </w:rPr>
              <w:t>管箍</w:t>
            </w: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（自加热）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513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71" w:type="pct"/>
          </w:tcPr>
          <w:p>
            <w:pPr>
              <w:pStyle w:val="23"/>
              <w:spacing w:before="1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pct"/>
          </w:tcPr>
          <w:p>
            <w:pPr>
              <w:pStyle w:val="23"/>
              <w:spacing w:before="9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rFonts w:hint="eastAsia"/>
                <w:sz w:val="24"/>
              </w:rPr>
              <w:t>管</w:t>
            </w:r>
            <w:r>
              <w:rPr>
                <w:sz w:val="24"/>
              </w:rPr>
              <w:t>DN200</w:t>
            </w:r>
          </w:p>
        </w:tc>
        <w:tc>
          <w:tcPr>
            <w:tcW w:w="513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513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71" w:type="pct"/>
          </w:tcPr>
          <w:p>
            <w:pPr>
              <w:pStyle w:val="23"/>
              <w:spacing w:before="1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pct"/>
          </w:tcPr>
          <w:p>
            <w:pPr>
              <w:pStyle w:val="23"/>
              <w:spacing w:before="35" w:line="348" w:lineRule="exact"/>
              <w:ind w:left="45"/>
              <w:jc w:val="lef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拆除、焊接、安装、辅料（螺栓、垫、防锈漆等）</w:t>
            </w:r>
          </w:p>
        </w:tc>
        <w:tc>
          <w:tcPr>
            <w:tcW w:w="513" w:type="pct"/>
          </w:tcPr>
          <w:p>
            <w:pPr>
              <w:pStyle w:val="23"/>
              <w:spacing w:before="157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513" w:type="pct"/>
          </w:tcPr>
          <w:p>
            <w:pPr>
              <w:pStyle w:val="23"/>
              <w:spacing w:before="1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>
      <w:pPr>
        <w:pStyle w:val="5"/>
        <w:spacing w:afterLines="50"/>
        <w:rPr>
          <w:sz w:val="18"/>
          <w:szCs w:val="18"/>
        </w:rPr>
      </w:pPr>
    </w:p>
    <w:p>
      <w:pPr>
        <w:pStyle w:val="5"/>
        <w:spacing w:afterLines="50"/>
        <w:rPr>
          <w:sz w:val="28"/>
          <w:szCs w:val="28"/>
        </w:rPr>
      </w:pPr>
      <w:r>
        <w:rPr>
          <w:rFonts w:hint="eastAsia"/>
          <w:sz w:val="28"/>
          <w:szCs w:val="28"/>
        </w:rPr>
        <w:t>二、三阀井安装改造清单</w:t>
      </w:r>
    </w:p>
    <w:tbl>
      <w:tblPr>
        <w:tblStyle w:val="10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5770"/>
        <w:gridCol w:w="981"/>
        <w:gridCol w:w="1104"/>
        <w:gridCol w:w="9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08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54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8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人工挖检查井</w:t>
            </w:r>
          </w:p>
        </w:tc>
        <w:tc>
          <w:tcPr>
            <w:tcW w:w="502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565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8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闸板阀</w:t>
            </w:r>
          </w:p>
        </w:tc>
        <w:tc>
          <w:tcPr>
            <w:tcW w:w="502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565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8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法兰波纹补偿器</w:t>
            </w:r>
          </w:p>
        </w:tc>
        <w:tc>
          <w:tcPr>
            <w:tcW w:w="502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565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8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4" w:type="pct"/>
          </w:tcPr>
          <w:p>
            <w:pPr>
              <w:pStyle w:val="23"/>
              <w:spacing w:before="9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rFonts w:hint="eastAsia"/>
                <w:sz w:val="24"/>
              </w:rPr>
              <w:t>带钢片法兰</w:t>
            </w: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（自加热）</w:t>
            </w:r>
          </w:p>
        </w:tc>
        <w:tc>
          <w:tcPr>
            <w:tcW w:w="502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65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8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rFonts w:hint="eastAsia"/>
                <w:sz w:val="24"/>
              </w:rPr>
              <w:t>管箍</w:t>
            </w: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（自加热）</w:t>
            </w:r>
          </w:p>
        </w:tc>
        <w:tc>
          <w:tcPr>
            <w:tcW w:w="502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565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8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4" w:type="pct"/>
          </w:tcPr>
          <w:p>
            <w:pPr>
              <w:pStyle w:val="23"/>
              <w:spacing w:before="9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rFonts w:hint="eastAsia"/>
                <w:sz w:val="24"/>
              </w:rPr>
              <w:t>管</w:t>
            </w:r>
            <w:r>
              <w:rPr>
                <w:sz w:val="24"/>
              </w:rPr>
              <w:t>DN200</w:t>
            </w:r>
          </w:p>
        </w:tc>
        <w:tc>
          <w:tcPr>
            <w:tcW w:w="502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565" w:type="pct"/>
          </w:tcPr>
          <w:p>
            <w:pPr>
              <w:pStyle w:val="23"/>
              <w:spacing w:before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8" w:type="pct"/>
          </w:tcPr>
          <w:p>
            <w:pPr>
              <w:pStyle w:val="23"/>
              <w:spacing w:before="1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4" w:type="pct"/>
          </w:tcPr>
          <w:p>
            <w:pPr>
              <w:pStyle w:val="23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rFonts w:hint="eastAsia"/>
                <w:sz w:val="24"/>
              </w:rPr>
              <w:t>三通</w:t>
            </w:r>
            <w:r>
              <w:rPr>
                <w:sz w:val="24"/>
              </w:rPr>
              <w:t>DN200</w:t>
            </w:r>
            <w:r>
              <w:rPr>
                <w:rFonts w:hint="eastAsia"/>
                <w:sz w:val="24"/>
              </w:rPr>
              <w:t>（自加热）</w:t>
            </w:r>
          </w:p>
        </w:tc>
        <w:tc>
          <w:tcPr>
            <w:tcW w:w="502" w:type="pct"/>
          </w:tcPr>
          <w:p>
            <w:pPr>
              <w:pStyle w:val="23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565" w:type="pct"/>
          </w:tcPr>
          <w:p>
            <w:pPr>
              <w:pStyle w:val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08" w:type="pct"/>
          </w:tcPr>
          <w:p>
            <w:pPr>
              <w:pStyle w:val="23"/>
              <w:spacing w:before="1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4" w:type="pct"/>
          </w:tcPr>
          <w:p>
            <w:pPr>
              <w:pStyle w:val="23"/>
              <w:spacing w:before="34" w:line="348" w:lineRule="exact"/>
              <w:ind w:left="45"/>
              <w:jc w:val="left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拆除、焊接、安装、辅料（螺栓、垫、防锈漆等）</w:t>
            </w:r>
          </w:p>
        </w:tc>
        <w:tc>
          <w:tcPr>
            <w:tcW w:w="502" w:type="pct"/>
          </w:tcPr>
          <w:p>
            <w:pPr>
              <w:pStyle w:val="23"/>
              <w:spacing w:before="159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565" w:type="pct"/>
          </w:tcPr>
          <w:p>
            <w:pPr>
              <w:pStyle w:val="23"/>
              <w:spacing w:before="1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" w:type="pct"/>
          </w:tcPr>
          <w:p>
            <w:pPr>
              <w:pStyle w:val="23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>
      <w:pPr>
        <w:ind w:right="2105"/>
        <w:rPr>
          <w:sz w:val="24"/>
        </w:rPr>
      </w:pPr>
    </w:p>
    <w:p>
      <w:pPr>
        <w:pStyle w:val="5"/>
        <w:spacing w:before="32" w:afterLines="50"/>
        <w:rPr>
          <w:sz w:val="28"/>
          <w:szCs w:val="28"/>
        </w:rPr>
      </w:pPr>
      <w:r>
        <w:rPr>
          <w:sz w:val="24"/>
        </w:rPr>
        <w:br w:type="page"/>
      </w:r>
      <w:r>
        <w:rPr>
          <w:rFonts w:hint="eastAsia"/>
          <w:sz w:val="28"/>
          <w:szCs w:val="28"/>
        </w:rPr>
        <w:t>三、检查井土建改造按照图纸自行计算报价，内壁抹灰采用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水泥砂浆抹平压光，铸铁井盖采用</w:t>
      </w:r>
      <w:r>
        <w:rPr>
          <w:sz w:val="28"/>
          <w:szCs w:val="28"/>
        </w:rPr>
        <w:t>1000*800mm</w:t>
      </w:r>
      <w:r>
        <w:rPr>
          <w:rFonts w:hint="eastAsia"/>
          <w:sz w:val="28"/>
          <w:szCs w:val="28"/>
        </w:rPr>
        <w:t>，报价时综合考虑余土外运及检查井周边地形地貌情况，对检查井周边的树木移栽和水泥硬化路面破除，人行道方砖拆除重铺等零星作业均应包含在土建报价中。</w:t>
      </w:r>
    </w:p>
    <w:p>
      <w:r>
        <w:t xml:space="preserve"> </w:t>
      </w:r>
    </w:p>
    <w:p>
      <w:pPr>
        <w:spacing w:beforeLines="100"/>
        <w:ind w:right="2104"/>
        <w:rPr>
          <w:sz w:val="28"/>
          <w:szCs w:val="28"/>
        </w:rPr>
      </w:pPr>
      <w:r>
        <w:rPr>
          <w:rFonts w:hint="eastAsia"/>
          <w:sz w:val="28"/>
          <w:szCs w:val="28"/>
        </w:rPr>
        <w:t>四、检查井做法</w:t>
      </w:r>
    </w:p>
    <w:p>
      <w:pPr>
        <w:ind w:right="2105"/>
        <w:rPr>
          <w:sz w:val="24"/>
        </w:rPr>
      </w:pPr>
      <w:r>
        <w:rPr>
          <w:sz w:val="24"/>
        </w:rPr>
        <w:drawing>
          <wp:inline distT="0" distB="0" distL="114300" distR="114300">
            <wp:extent cx="6219825" cy="4105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附件3：相关要求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工期：自接采购人通知之日起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日历日内</w:t>
      </w:r>
      <w:r>
        <w:rPr>
          <w:rFonts w:hint="eastAsia"/>
          <w:sz w:val="28"/>
          <w:szCs w:val="28"/>
          <w:lang w:val="en-US" w:eastAsia="zh-CN"/>
        </w:rPr>
        <w:t>施工完毕并验收合格</w:t>
      </w:r>
      <w:r>
        <w:rPr>
          <w:rFonts w:hint="eastAsia"/>
          <w:sz w:val="28"/>
          <w:szCs w:val="28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9AF2D"/>
    <w:multiLevelType w:val="singleLevel"/>
    <w:tmpl w:val="C5F9AF2D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YjA2ZjQ5YzUwMmUyMWQ5MWY1OTAxOGE4ZGNmN2UifQ=="/>
  </w:docVars>
  <w:rsids>
    <w:rsidRoot w:val="00B8598A"/>
    <w:rsid w:val="00062150"/>
    <w:rsid w:val="001223C8"/>
    <w:rsid w:val="00122E9B"/>
    <w:rsid w:val="0016294F"/>
    <w:rsid w:val="00190CE4"/>
    <w:rsid w:val="001A3C19"/>
    <w:rsid w:val="001F4E43"/>
    <w:rsid w:val="00207D0E"/>
    <w:rsid w:val="0024523C"/>
    <w:rsid w:val="003C4264"/>
    <w:rsid w:val="003F7387"/>
    <w:rsid w:val="00416030"/>
    <w:rsid w:val="00447404"/>
    <w:rsid w:val="00462738"/>
    <w:rsid w:val="00516A12"/>
    <w:rsid w:val="00587B12"/>
    <w:rsid w:val="005B04BE"/>
    <w:rsid w:val="005F1A1B"/>
    <w:rsid w:val="00613F80"/>
    <w:rsid w:val="00627BB2"/>
    <w:rsid w:val="006A4E9C"/>
    <w:rsid w:val="00702EAB"/>
    <w:rsid w:val="007C5B67"/>
    <w:rsid w:val="007F75D2"/>
    <w:rsid w:val="008C4DFA"/>
    <w:rsid w:val="008D6214"/>
    <w:rsid w:val="00A00513"/>
    <w:rsid w:val="00A673B4"/>
    <w:rsid w:val="00A838A2"/>
    <w:rsid w:val="00B23A33"/>
    <w:rsid w:val="00B8598A"/>
    <w:rsid w:val="00BB7C0B"/>
    <w:rsid w:val="00C11704"/>
    <w:rsid w:val="00C131DB"/>
    <w:rsid w:val="00C16EE6"/>
    <w:rsid w:val="00C8359A"/>
    <w:rsid w:val="00C9459F"/>
    <w:rsid w:val="00CA7AE2"/>
    <w:rsid w:val="00CD3F78"/>
    <w:rsid w:val="00DA02AB"/>
    <w:rsid w:val="00DD1924"/>
    <w:rsid w:val="00E83EFD"/>
    <w:rsid w:val="00F03CD8"/>
    <w:rsid w:val="00F552AE"/>
    <w:rsid w:val="00F719FA"/>
    <w:rsid w:val="00FA5FF5"/>
    <w:rsid w:val="00FB07CB"/>
    <w:rsid w:val="01166FE6"/>
    <w:rsid w:val="046F4587"/>
    <w:rsid w:val="06D0507E"/>
    <w:rsid w:val="06FD2896"/>
    <w:rsid w:val="08CC3E0A"/>
    <w:rsid w:val="0C127D8D"/>
    <w:rsid w:val="0CB60CAE"/>
    <w:rsid w:val="0D060633"/>
    <w:rsid w:val="0D6202AC"/>
    <w:rsid w:val="0DAD6BC9"/>
    <w:rsid w:val="10094278"/>
    <w:rsid w:val="10CD1887"/>
    <w:rsid w:val="1D8F4C97"/>
    <w:rsid w:val="1DFB34B4"/>
    <w:rsid w:val="1F2F2768"/>
    <w:rsid w:val="1F455F0E"/>
    <w:rsid w:val="208465D8"/>
    <w:rsid w:val="20C3321F"/>
    <w:rsid w:val="21B80854"/>
    <w:rsid w:val="22C30BE6"/>
    <w:rsid w:val="23BE2A01"/>
    <w:rsid w:val="27FB62BC"/>
    <w:rsid w:val="29342F34"/>
    <w:rsid w:val="2E2446A0"/>
    <w:rsid w:val="335C6885"/>
    <w:rsid w:val="344C53CA"/>
    <w:rsid w:val="366D52F7"/>
    <w:rsid w:val="37357CCA"/>
    <w:rsid w:val="3CD85F7F"/>
    <w:rsid w:val="3E47606A"/>
    <w:rsid w:val="3F2662DB"/>
    <w:rsid w:val="3FF37812"/>
    <w:rsid w:val="443C48CF"/>
    <w:rsid w:val="475D2A2E"/>
    <w:rsid w:val="497D499A"/>
    <w:rsid w:val="4D0347BD"/>
    <w:rsid w:val="532A086D"/>
    <w:rsid w:val="55EB1D4E"/>
    <w:rsid w:val="567857B9"/>
    <w:rsid w:val="599E7D41"/>
    <w:rsid w:val="5A1C60DC"/>
    <w:rsid w:val="5CFF1951"/>
    <w:rsid w:val="5DFF1020"/>
    <w:rsid w:val="5E8331ED"/>
    <w:rsid w:val="622E5C0C"/>
    <w:rsid w:val="644F2874"/>
    <w:rsid w:val="6597408E"/>
    <w:rsid w:val="65AA11A0"/>
    <w:rsid w:val="6F7A7103"/>
    <w:rsid w:val="70B75FBE"/>
    <w:rsid w:val="717573DC"/>
    <w:rsid w:val="72B4110E"/>
    <w:rsid w:val="787362B9"/>
    <w:rsid w:val="7B6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4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next w:val="1"/>
    <w:link w:val="15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5">
    <w:name w:val="Body Text"/>
    <w:basedOn w:val="1"/>
    <w:next w:val="1"/>
    <w:link w:val="16"/>
    <w:uiPriority w:val="99"/>
    <w:pPr>
      <w:spacing w:after="120"/>
    </w:p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99"/>
    <w:pPr>
      <w:spacing w:line="380" w:lineRule="exact"/>
      <w:jc w:val="distribute"/>
    </w:pPr>
    <w:rPr>
      <w:rFonts w:eastAsia="黑体"/>
    </w:rPr>
  </w:style>
  <w:style w:type="paragraph" w:styleId="9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2 Char"/>
    <w:basedOn w:val="12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Heading 4 Char"/>
    <w:basedOn w:val="12"/>
    <w:link w:val="4"/>
    <w:semiHidden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5">
    <w:name w:val="HTML Preformatted Char"/>
    <w:basedOn w:val="12"/>
    <w:link w:val="2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6">
    <w:name w:val="Body Text Char"/>
    <w:basedOn w:val="12"/>
    <w:link w:val="5"/>
    <w:semiHidden/>
    <w:locked/>
    <w:uiPriority w:val="99"/>
    <w:rPr>
      <w:rFonts w:cs="Times New Roman"/>
      <w:sz w:val="24"/>
      <w:szCs w:val="24"/>
    </w:rPr>
  </w:style>
  <w:style w:type="character" w:customStyle="1" w:styleId="17">
    <w:name w:val="Footer Char"/>
    <w:basedOn w:val="12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2"/>
    <w:link w:val="7"/>
    <w:semiHidden/>
    <w:locked/>
    <w:uiPriority w:val="99"/>
    <w:rPr>
      <w:rFonts w:cs="Times New Roman"/>
      <w:sz w:val="18"/>
      <w:szCs w:val="18"/>
    </w:rPr>
  </w:style>
  <w:style w:type="paragraph" w:customStyle="1" w:styleId="19">
    <w:name w:val="标4"/>
    <w:basedOn w:val="20"/>
    <w:next w:val="1"/>
    <w:uiPriority w:val="99"/>
    <w:pPr>
      <w:spacing w:before="240"/>
      <w:outlineLvl w:val="3"/>
    </w:pPr>
    <w:rPr>
      <w:rFonts w:cs="Arial"/>
    </w:rPr>
  </w:style>
  <w:style w:type="paragraph" w:customStyle="1" w:styleId="20">
    <w:name w:val="标3"/>
    <w:basedOn w:val="1"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21">
    <w:name w:val="商院正文"/>
    <w:basedOn w:val="1"/>
    <w:uiPriority w:val="99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Table Paragraph"/>
    <w:basedOn w:val="1"/>
    <w:uiPriority w:val="99"/>
    <w:pPr>
      <w:spacing w:before="92"/>
      <w:ind w:left="36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1494</Words>
  <Characters>1664</Characters>
  <Lines>0</Lines>
  <Paragraphs>0</Paragraphs>
  <TotalTime>40</TotalTime>
  <ScaleCrop>false</ScaleCrop>
  <LinksUpToDate>false</LinksUpToDate>
  <CharactersWithSpaces>1759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2022-08-02T02:27:00Z</dcterms:created>
  <dc:creator>Administrator</dc:creator>
  <cp:lastModifiedBy>follow the sun</cp:lastModifiedBy>
  <dcterms:modified xsi:type="dcterms:W3CDTF">2022-11-19T03:59:34Z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6991E243DF2949FC9B5A999924D299A8</vt:lpwstr>
  </property>
</Properties>
</file>